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3E" w:rsidRDefault="0071273E">
      <w:pPr>
        <w:pStyle w:val="Textoindependiente"/>
      </w:pPr>
    </w:p>
    <w:p w:rsidR="0071273E" w:rsidRDefault="0071273E">
      <w:pPr>
        <w:pStyle w:val="Textoindependiente"/>
      </w:pPr>
    </w:p>
    <w:p w:rsidR="004115E7" w:rsidRDefault="00662260">
      <w:pPr>
        <w:pStyle w:val="Textoindependiente"/>
      </w:pPr>
      <w:r>
        <w:t>NORMAS</w:t>
      </w:r>
      <w:r w:rsidR="004115E7">
        <w:t xml:space="preserve"> PARA LA JUSTIFICACIÓN DE LAS AYUDAS DE EXTENSIÓN UNIVERSITARIA</w:t>
      </w:r>
    </w:p>
    <w:p w:rsidR="00662260" w:rsidRDefault="00662260" w:rsidP="00662260">
      <w:pPr>
        <w:ind w:left="720"/>
        <w:jc w:val="both"/>
        <w:rPr>
          <w:b/>
          <w:bCs/>
          <w:szCs w:val="22"/>
          <w:u w:val="single"/>
        </w:rPr>
      </w:pPr>
    </w:p>
    <w:p w:rsidR="004115E7" w:rsidRDefault="004115E7">
      <w:pPr>
        <w:numPr>
          <w:ilvl w:val="0"/>
          <w:numId w:val="2"/>
        </w:numPr>
        <w:jc w:val="both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MEMORIA</w:t>
      </w:r>
    </w:p>
    <w:p w:rsidR="004115E7" w:rsidRDefault="004115E7">
      <w:pPr>
        <w:ind w:left="360"/>
        <w:jc w:val="both"/>
        <w:rPr>
          <w:sz w:val="22"/>
          <w:szCs w:val="22"/>
          <w:u w:val="single"/>
        </w:rPr>
      </w:pPr>
    </w:p>
    <w:p w:rsidR="004115E7" w:rsidRDefault="004115E7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Es imprescindible la presentación de un informe o memoria de la actividad realizada en el que se haga referencia como mínimo a los siguientes puntos:</w:t>
      </w:r>
    </w:p>
    <w:p w:rsidR="004115E7" w:rsidRDefault="004115E7">
      <w:pPr>
        <w:jc w:val="both"/>
        <w:rPr>
          <w:sz w:val="22"/>
          <w:szCs w:val="22"/>
        </w:rPr>
      </w:pPr>
    </w:p>
    <w:p w:rsidR="004115E7" w:rsidRDefault="004115E7">
      <w:pPr>
        <w:ind w:left="1416"/>
        <w:jc w:val="both"/>
        <w:rPr>
          <w:sz w:val="22"/>
          <w:szCs w:val="22"/>
        </w:rPr>
      </w:pPr>
      <w:r>
        <w:rPr>
          <w:sz w:val="22"/>
          <w:szCs w:val="22"/>
        </w:rPr>
        <w:t>- Lugar y fecha de realización</w:t>
      </w:r>
    </w:p>
    <w:p w:rsidR="004115E7" w:rsidRDefault="004115E7">
      <w:pPr>
        <w:ind w:left="1416"/>
        <w:jc w:val="both"/>
        <w:rPr>
          <w:sz w:val="22"/>
          <w:szCs w:val="22"/>
        </w:rPr>
      </w:pPr>
      <w:r>
        <w:rPr>
          <w:sz w:val="22"/>
          <w:szCs w:val="22"/>
        </w:rPr>
        <w:t>- Nº aproximado de personas inscritas en la actividad o asistentes.</w:t>
      </w:r>
    </w:p>
    <w:p w:rsidR="004115E7" w:rsidRDefault="004115E7">
      <w:pPr>
        <w:ind w:left="1416"/>
        <w:jc w:val="both"/>
        <w:rPr>
          <w:sz w:val="22"/>
          <w:szCs w:val="22"/>
        </w:rPr>
      </w:pPr>
      <w:r>
        <w:rPr>
          <w:sz w:val="22"/>
          <w:szCs w:val="22"/>
        </w:rPr>
        <w:t>- Relación de participantes</w:t>
      </w:r>
    </w:p>
    <w:p w:rsidR="004115E7" w:rsidRDefault="004115E7">
      <w:pPr>
        <w:ind w:left="1416"/>
        <w:jc w:val="both"/>
        <w:rPr>
          <w:sz w:val="22"/>
          <w:szCs w:val="22"/>
        </w:rPr>
      </w:pPr>
      <w:r>
        <w:rPr>
          <w:sz w:val="22"/>
          <w:szCs w:val="22"/>
        </w:rPr>
        <w:t>- Programa final de la actividad</w:t>
      </w:r>
    </w:p>
    <w:p w:rsidR="004115E7" w:rsidRDefault="004115E7">
      <w:pPr>
        <w:ind w:left="1416"/>
        <w:jc w:val="both"/>
        <w:rPr>
          <w:sz w:val="22"/>
          <w:szCs w:val="22"/>
        </w:rPr>
      </w:pPr>
      <w:r>
        <w:rPr>
          <w:sz w:val="22"/>
          <w:szCs w:val="22"/>
        </w:rPr>
        <w:t>- Objetivos perseguidos y en qué medida se han cumplido</w:t>
      </w:r>
    </w:p>
    <w:p w:rsidR="004115E7" w:rsidRDefault="004115E7">
      <w:pPr>
        <w:ind w:left="14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Difusión dada a la actividad (acompañar folletos, carteles, </w:t>
      </w:r>
      <w:proofErr w:type="gramStart"/>
      <w:r>
        <w:rPr>
          <w:sz w:val="22"/>
          <w:szCs w:val="22"/>
        </w:rPr>
        <w:t>etc..</w:t>
      </w:r>
      <w:proofErr w:type="gramEnd"/>
      <w:r>
        <w:rPr>
          <w:sz w:val="22"/>
          <w:szCs w:val="22"/>
        </w:rPr>
        <w:t>)</w:t>
      </w:r>
    </w:p>
    <w:p w:rsidR="004115E7" w:rsidRDefault="004115E7">
      <w:pPr>
        <w:ind w:left="1416"/>
        <w:jc w:val="both"/>
        <w:rPr>
          <w:sz w:val="22"/>
          <w:szCs w:val="22"/>
        </w:rPr>
      </w:pPr>
      <w:r>
        <w:rPr>
          <w:sz w:val="22"/>
          <w:szCs w:val="22"/>
        </w:rPr>
        <w:t>- Repercusión de la actividad y perspectivas de continuidad</w:t>
      </w:r>
    </w:p>
    <w:p w:rsidR="004115E7" w:rsidRDefault="004115E7" w:rsidP="00FE28BD">
      <w:pPr>
        <w:ind w:left="1560" w:hanging="142"/>
        <w:jc w:val="both"/>
        <w:rPr>
          <w:sz w:val="22"/>
          <w:szCs w:val="22"/>
        </w:rPr>
      </w:pPr>
      <w:r>
        <w:rPr>
          <w:sz w:val="22"/>
          <w:szCs w:val="22"/>
        </w:rPr>
        <w:t>- Relación detallada de gastos con indicación expresa de los que se han financiado con la Ayuda de Extensión Universitaria.</w:t>
      </w:r>
    </w:p>
    <w:p w:rsidR="004115E7" w:rsidRDefault="004115E7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115E7" w:rsidRDefault="004115E7">
      <w:pPr>
        <w:numPr>
          <w:ilvl w:val="0"/>
          <w:numId w:val="2"/>
        </w:numPr>
        <w:jc w:val="both"/>
        <w:rPr>
          <w:szCs w:val="22"/>
          <w:u w:val="single"/>
        </w:rPr>
      </w:pPr>
      <w:r>
        <w:rPr>
          <w:b/>
          <w:bCs/>
          <w:szCs w:val="22"/>
          <w:u w:val="single"/>
        </w:rPr>
        <w:t xml:space="preserve">RECIBOS DE </w:t>
      </w:r>
      <w:proofErr w:type="gramStart"/>
      <w:r>
        <w:rPr>
          <w:b/>
          <w:bCs/>
          <w:szCs w:val="22"/>
          <w:u w:val="single"/>
        </w:rPr>
        <w:t>CONFERENCIANTES,  PONENTES</w:t>
      </w:r>
      <w:proofErr w:type="gramEnd"/>
      <w:r>
        <w:rPr>
          <w:b/>
          <w:bCs/>
          <w:szCs w:val="22"/>
          <w:u w:val="single"/>
        </w:rPr>
        <w:t xml:space="preserve"> U OTROS PARTICIPANTES</w:t>
      </w:r>
    </w:p>
    <w:p w:rsidR="004115E7" w:rsidRDefault="004115E7">
      <w:pPr>
        <w:jc w:val="both"/>
        <w:rPr>
          <w:sz w:val="22"/>
          <w:szCs w:val="22"/>
          <w:u w:val="single"/>
        </w:rPr>
      </w:pPr>
    </w:p>
    <w:p w:rsidR="004115E7" w:rsidRDefault="009C5AF0" w:rsidP="00FE28BD">
      <w:pPr>
        <w:ind w:left="1560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Las ayudas se conceden </w:t>
      </w:r>
      <w:r w:rsidR="004115E7">
        <w:rPr>
          <w:sz w:val="22"/>
          <w:szCs w:val="22"/>
        </w:rPr>
        <w:t xml:space="preserve">a particulares por lo que los beneficiarios de las ayudas no pueden retener importe alguno en concepto de I.R.P.F. </w:t>
      </w:r>
    </w:p>
    <w:p w:rsidR="004115E7" w:rsidRDefault="004115E7" w:rsidP="00FE28BD">
      <w:pPr>
        <w:ind w:left="1560" w:hanging="142"/>
        <w:jc w:val="both"/>
        <w:rPr>
          <w:sz w:val="22"/>
          <w:szCs w:val="22"/>
        </w:rPr>
      </w:pPr>
      <w:r>
        <w:rPr>
          <w:sz w:val="22"/>
          <w:szCs w:val="22"/>
        </w:rPr>
        <w:t>- Para los recibos de los perceptores no se podrán utilizar impreso</w:t>
      </w:r>
      <w:r w:rsidR="00FE28BD">
        <w:rPr>
          <w:sz w:val="22"/>
          <w:szCs w:val="22"/>
        </w:rPr>
        <w:t>s oficiales de esta universidad</w:t>
      </w:r>
    </w:p>
    <w:p w:rsidR="004115E7" w:rsidRDefault="004115E7" w:rsidP="00FE28BD">
      <w:pPr>
        <w:ind w:left="1560" w:hanging="142"/>
        <w:jc w:val="both"/>
        <w:rPr>
          <w:sz w:val="22"/>
          <w:szCs w:val="22"/>
        </w:rPr>
      </w:pPr>
      <w:r>
        <w:rPr>
          <w:sz w:val="22"/>
          <w:szCs w:val="22"/>
        </w:rPr>
        <w:t>- En los recibos que firmen los perceptores debe constar claramente que reciben el dine</w:t>
      </w:r>
      <w:r w:rsidR="00FE28BD">
        <w:rPr>
          <w:sz w:val="22"/>
          <w:szCs w:val="22"/>
        </w:rPr>
        <w:t>ro del beneficiario de la ayuda</w:t>
      </w:r>
    </w:p>
    <w:p w:rsidR="004115E7" w:rsidRDefault="004115E7" w:rsidP="00FE28BD">
      <w:pPr>
        <w:ind w:left="1560" w:hanging="142"/>
        <w:jc w:val="both"/>
        <w:rPr>
          <w:sz w:val="22"/>
          <w:szCs w:val="22"/>
        </w:rPr>
      </w:pPr>
      <w:r>
        <w:rPr>
          <w:sz w:val="22"/>
          <w:szCs w:val="22"/>
        </w:rPr>
        <w:t>- Es necesario aportar copia del NIF o pasaporte de los conferenciantes o ponentes perc</w:t>
      </w:r>
      <w:r w:rsidR="00FE28BD">
        <w:rPr>
          <w:sz w:val="22"/>
          <w:szCs w:val="22"/>
        </w:rPr>
        <w:t>eptores de dinero de las ayudas</w:t>
      </w:r>
    </w:p>
    <w:p w:rsidR="004115E7" w:rsidRDefault="004115E7">
      <w:pPr>
        <w:pStyle w:val="Sangra2detindependiente"/>
      </w:pPr>
      <w:r>
        <w:t>- Los recibos deben ser originales y no tener tachaduras o correcciones significativas.</w:t>
      </w:r>
    </w:p>
    <w:p w:rsidR="004115E7" w:rsidRDefault="004115E7">
      <w:pPr>
        <w:jc w:val="both"/>
        <w:rPr>
          <w:b/>
          <w:bCs/>
          <w:sz w:val="22"/>
          <w:szCs w:val="22"/>
        </w:rPr>
      </w:pPr>
    </w:p>
    <w:p w:rsidR="004115E7" w:rsidRDefault="004115E7">
      <w:pPr>
        <w:numPr>
          <w:ilvl w:val="0"/>
          <w:numId w:val="2"/>
        </w:numPr>
        <w:jc w:val="both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FACTURAS</w:t>
      </w:r>
    </w:p>
    <w:p w:rsidR="004115E7" w:rsidRDefault="004115E7">
      <w:pPr>
        <w:jc w:val="both"/>
        <w:rPr>
          <w:szCs w:val="22"/>
        </w:rPr>
      </w:pPr>
    </w:p>
    <w:p w:rsidR="004115E7" w:rsidRDefault="004115E7" w:rsidP="00FE28BD">
      <w:p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- Las facturas deben ser originales y reunir los requisitos legales establecidos</w:t>
      </w:r>
    </w:p>
    <w:p w:rsidR="004115E7" w:rsidRPr="00662260" w:rsidRDefault="004115E7">
      <w:pPr>
        <w:pStyle w:val="Sangradetextonormal"/>
        <w:rPr>
          <w:bCs/>
        </w:rPr>
      </w:pPr>
      <w:r w:rsidRPr="00662260">
        <w:rPr>
          <w:bCs/>
        </w:rPr>
        <w:t>- Las facturas deben estar expedidas a nombre del beneficiario/a de la ayuda</w:t>
      </w:r>
    </w:p>
    <w:p w:rsidR="004115E7" w:rsidRDefault="004F79FE" w:rsidP="004F79FE">
      <w:pPr>
        <w:ind w:left="1560" w:hanging="142"/>
        <w:jc w:val="both"/>
        <w:rPr>
          <w:sz w:val="22"/>
          <w:szCs w:val="22"/>
        </w:rPr>
      </w:pPr>
      <w:r>
        <w:rPr>
          <w:sz w:val="22"/>
          <w:szCs w:val="22"/>
        </w:rPr>
        <w:t>- Las facturas y facturas simplificadas se ajustarán al R.D. 1619/2012 de 30 de noviembre de 2012.</w:t>
      </w:r>
    </w:p>
    <w:p w:rsidR="004115E7" w:rsidRDefault="009C5AF0" w:rsidP="00FE28BD">
      <w:pPr>
        <w:ind w:left="1560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Los pagos realizados a los </w:t>
      </w:r>
      <w:r w:rsidR="004115E7">
        <w:rPr>
          <w:sz w:val="22"/>
          <w:szCs w:val="22"/>
        </w:rPr>
        <w:t xml:space="preserve">interesados en concepto de viajes </w:t>
      </w:r>
      <w:r w:rsidR="00CA4332">
        <w:rPr>
          <w:sz w:val="22"/>
          <w:szCs w:val="22"/>
        </w:rPr>
        <w:t xml:space="preserve">en vehículo propio </w:t>
      </w:r>
      <w:r w:rsidR="004115E7">
        <w:rPr>
          <w:sz w:val="22"/>
          <w:szCs w:val="22"/>
        </w:rPr>
        <w:t xml:space="preserve">deberán justificarse con el correspondiente recibo acompañado </w:t>
      </w:r>
      <w:r w:rsidR="00CA4332">
        <w:rPr>
          <w:sz w:val="22"/>
          <w:szCs w:val="22"/>
        </w:rPr>
        <w:t xml:space="preserve">de la identificación del vehículo en el que se han desplazado. En el caso de viajes realizados por otros medios, los recibos deberán acompañarse </w:t>
      </w:r>
      <w:r w:rsidR="004115E7">
        <w:rPr>
          <w:sz w:val="22"/>
          <w:szCs w:val="22"/>
        </w:rPr>
        <w:t>de los billetes originales</w:t>
      </w:r>
      <w:r w:rsidR="00CA4332">
        <w:rPr>
          <w:sz w:val="22"/>
          <w:szCs w:val="22"/>
        </w:rPr>
        <w:t xml:space="preserve"> y tarjetas de embarque.</w:t>
      </w:r>
      <w:r w:rsidR="004115E7">
        <w:rPr>
          <w:sz w:val="22"/>
          <w:szCs w:val="22"/>
        </w:rPr>
        <w:t xml:space="preserve">   </w:t>
      </w:r>
    </w:p>
    <w:p w:rsidR="004115E7" w:rsidRDefault="004115E7" w:rsidP="00FE28BD">
      <w:pPr>
        <w:ind w:left="1560" w:hanging="142"/>
        <w:jc w:val="both"/>
        <w:rPr>
          <w:sz w:val="22"/>
          <w:szCs w:val="22"/>
        </w:rPr>
      </w:pPr>
      <w:r>
        <w:rPr>
          <w:sz w:val="22"/>
          <w:szCs w:val="22"/>
        </w:rPr>
        <w:t>- En el caso de que los b</w:t>
      </w:r>
      <w:r w:rsidR="009C5AF0">
        <w:rPr>
          <w:sz w:val="22"/>
          <w:szCs w:val="22"/>
        </w:rPr>
        <w:t xml:space="preserve">illetes de viaje sean emitidos </w:t>
      </w:r>
      <w:r>
        <w:rPr>
          <w:sz w:val="22"/>
          <w:szCs w:val="22"/>
        </w:rPr>
        <w:t>electrónicamente, deberán acompañar</w:t>
      </w:r>
      <w:r w:rsidR="001E707B">
        <w:rPr>
          <w:sz w:val="22"/>
          <w:szCs w:val="22"/>
        </w:rPr>
        <w:t>se</w:t>
      </w:r>
      <w:r>
        <w:rPr>
          <w:sz w:val="22"/>
          <w:szCs w:val="22"/>
        </w:rPr>
        <w:t xml:space="preserve"> </w:t>
      </w:r>
      <w:r w:rsidR="001E707B">
        <w:rPr>
          <w:sz w:val="22"/>
          <w:szCs w:val="22"/>
        </w:rPr>
        <w:t xml:space="preserve">de </w:t>
      </w:r>
      <w:r w:rsidR="009C5AF0">
        <w:rPr>
          <w:sz w:val="22"/>
          <w:szCs w:val="22"/>
        </w:rPr>
        <w:t xml:space="preserve">las </w:t>
      </w:r>
      <w:bookmarkStart w:id="0" w:name="_GoBack"/>
      <w:bookmarkEnd w:id="0"/>
      <w:r>
        <w:rPr>
          <w:sz w:val="22"/>
          <w:szCs w:val="22"/>
        </w:rPr>
        <w:t xml:space="preserve">tarjetas </w:t>
      </w:r>
      <w:r w:rsidR="001E707B">
        <w:rPr>
          <w:sz w:val="22"/>
          <w:szCs w:val="22"/>
        </w:rPr>
        <w:t xml:space="preserve">originales </w:t>
      </w:r>
      <w:r>
        <w:rPr>
          <w:sz w:val="22"/>
          <w:szCs w:val="22"/>
        </w:rPr>
        <w:t>de embarque de los mismos</w:t>
      </w:r>
      <w:r w:rsidR="004D1BF3">
        <w:rPr>
          <w:sz w:val="22"/>
          <w:szCs w:val="22"/>
        </w:rPr>
        <w:t xml:space="preserve"> y el recibo correspondiente.</w:t>
      </w:r>
    </w:p>
    <w:p w:rsidR="004115E7" w:rsidRDefault="004115E7">
      <w:pPr>
        <w:ind w:left="1776"/>
        <w:rPr>
          <w:sz w:val="22"/>
          <w:szCs w:val="22"/>
        </w:rPr>
      </w:pPr>
    </w:p>
    <w:p w:rsidR="004115E7" w:rsidRDefault="004115E7">
      <w:pPr>
        <w:numPr>
          <w:ilvl w:val="0"/>
          <w:numId w:val="2"/>
        </w:numPr>
        <w:jc w:val="both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CONSIDERACIONES GENERALES</w:t>
      </w:r>
    </w:p>
    <w:p w:rsidR="004115E7" w:rsidRDefault="004115E7">
      <w:pPr>
        <w:jc w:val="both"/>
        <w:rPr>
          <w:sz w:val="22"/>
          <w:szCs w:val="22"/>
          <w:u w:val="single"/>
        </w:rPr>
      </w:pPr>
    </w:p>
    <w:p w:rsidR="004115E7" w:rsidRDefault="004115E7" w:rsidP="00FE28BD">
      <w:pPr>
        <w:ind w:left="1560" w:hanging="144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- Los justificantes se corresponderán con gastos realizados con motivo de</w:t>
      </w:r>
      <w:r w:rsidR="009C5AF0">
        <w:rPr>
          <w:sz w:val="22"/>
          <w:szCs w:val="22"/>
        </w:rPr>
        <w:t xml:space="preserve"> </w:t>
      </w:r>
      <w:r>
        <w:rPr>
          <w:sz w:val="22"/>
          <w:szCs w:val="22"/>
        </w:rPr>
        <w:t>la actividad subvencionada</w:t>
      </w:r>
    </w:p>
    <w:p w:rsidR="004115E7" w:rsidRDefault="008C1CD4" w:rsidP="00FE28BD">
      <w:pPr>
        <w:ind w:left="1560" w:hanging="144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- </w:t>
      </w:r>
      <w:r w:rsidR="004115E7">
        <w:rPr>
          <w:sz w:val="22"/>
          <w:szCs w:val="22"/>
        </w:rPr>
        <w:t>Sólo se admitirán justificantes de gastos</w:t>
      </w:r>
      <w:r>
        <w:rPr>
          <w:sz w:val="22"/>
          <w:szCs w:val="22"/>
        </w:rPr>
        <w:t>,</w:t>
      </w:r>
      <w:r w:rsidR="004115E7">
        <w:rPr>
          <w:sz w:val="22"/>
          <w:szCs w:val="22"/>
        </w:rPr>
        <w:t xml:space="preserve"> </w:t>
      </w:r>
      <w:r>
        <w:rPr>
          <w:sz w:val="22"/>
          <w:szCs w:val="22"/>
        </w:rPr>
        <w:t>incluidos en el presupuesto presentado con la solicitud, correspondientes a los</w:t>
      </w:r>
      <w:r w:rsidR="004115E7">
        <w:rPr>
          <w:sz w:val="22"/>
          <w:szCs w:val="22"/>
        </w:rPr>
        <w:t xml:space="preserve"> conceptos </w:t>
      </w:r>
      <w:r>
        <w:rPr>
          <w:sz w:val="22"/>
          <w:szCs w:val="22"/>
        </w:rPr>
        <w:t xml:space="preserve">para los que se concedió la subvención.  </w:t>
      </w:r>
    </w:p>
    <w:p w:rsidR="00BE6F2B" w:rsidRDefault="004115E7" w:rsidP="00FE28BD">
      <w:pPr>
        <w:pStyle w:val="Sangra3detindependiente"/>
        <w:ind w:left="1560" w:hanging="142"/>
      </w:pPr>
      <w:r>
        <w:lastRenderedPageBreak/>
        <w:t xml:space="preserve">- </w:t>
      </w:r>
      <w:r w:rsidR="003525A1">
        <w:t>Sin perjuicio de lo establecido en el punto anterior e i</w:t>
      </w:r>
      <w:r>
        <w:t>ndependientemente de l</w:t>
      </w:r>
      <w:r w:rsidR="00BE6F2B">
        <w:t>as cantidades</w:t>
      </w:r>
      <w:r>
        <w:t xml:space="preserve"> contemplad</w:t>
      </w:r>
      <w:r w:rsidR="00BE6F2B">
        <w:t>as</w:t>
      </w:r>
      <w:r>
        <w:t xml:space="preserve"> en el presupuesto presentado junto con la solicitud, </w:t>
      </w:r>
      <w:r w:rsidR="00BE6F2B">
        <w:t>las justificaciones deberán tener en consideración las siguientes limitaciones cuantitativas:</w:t>
      </w:r>
    </w:p>
    <w:p w:rsidR="004115E7" w:rsidRDefault="004D1BF3" w:rsidP="00BE6F2B">
      <w:pPr>
        <w:pStyle w:val="Sangra3detindependiente"/>
        <w:numPr>
          <w:ilvl w:val="2"/>
          <w:numId w:val="2"/>
        </w:numPr>
      </w:pPr>
      <w:r>
        <w:t>En el caso de que la concesión de la ayuda contemple atencio</w:t>
      </w:r>
      <w:r w:rsidR="000D584D">
        <w:t>nes protocolarias u ornamentación</w:t>
      </w:r>
      <w:r>
        <w:t xml:space="preserve"> y exorno de locales, el importe justificado no podrá superar el 30% del importe total de la ayuda concedida.</w:t>
      </w:r>
    </w:p>
    <w:p w:rsidR="00BE6F2B" w:rsidRDefault="00BE6F2B" w:rsidP="00BE6F2B">
      <w:pPr>
        <w:pStyle w:val="Sangra3detindependiente"/>
        <w:numPr>
          <w:ilvl w:val="2"/>
          <w:numId w:val="2"/>
        </w:numPr>
      </w:pPr>
      <w:r>
        <w:t>No se podrán justificar honorarios individuales de ponentes, conferenciantes o de docen</w:t>
      </w:r>
      <w:r w:rsidR="0071273E">
        <w:t>tes</w:t>
      </w:r>
      <w:r>
        <w:t xml:space="preserve"> superiores a 300 €.</w:t>
      </w:r>
    </w:p>
    <w:p w:rsidR="004115E7" w:rsidRDefault="004115E7" w:rsidP="00FE28BD">
      <w:pPr>
        <w:pStyle w:val="Sangra3detindependiente"/>
        <w:ind w:left="1560" w:hanging="142"/>
      </w:pPr>
      <w:r>
        <w:t xml:space="preserve">- Cualquier cambio respecto a ponentes o </w:t>
      </w:r>
      <w:r w:rsidR="0071273E">
        <w:t xml:space="preserve">al </w:t>
      </w:r>
      <w:r>
        <w:t>presupuesto inicial deberá contar con la autorización previa del Vicerrectorado de Relaciones Institucionales</w:t>
      </w:r>
    </w:p>
    <w:p w:rsidR="008D51EF" w:rsidRDefault="00A44F32" w:rsidP="00FE28BD">
      <w:pPr>
        <w:pStyle w:val="Sangra3detindependiente"/>
        <w:ind w:left="1560" w:hanging="142"/>
      </w:pPr>
      <w:r>
        <w:t>- Los gastos relacionados con detalles o atenciones protocolarias a los conferenciantes sólo podrán justificarse en el caso de que estos no perciban retribuciones u honorarios por su participación en la actividad financiada.</w:t>
      </w:r>
    </w:p>
    <w:p w:rsidR="008F25BF" w:rsidRDefault="008F25BF" w:rsidP="008F25BF">
      <w:pPr>
        <w:jc w:val="both"/>
      </w:pPr>
    </w:p>
    <w:p w:rsidR="008D51EF" w:rsidRDefault="008D51EF" w:rsidP="008F25BF">
      <w:pPr>
        <w:numPr>
          <w:ilvl w:val="0"/>
          <w:numId w:val="2"/>
        </w:numPr>
        <w:jc w:val="both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PUBLICIDAD</w:t>
      </w:r>
    </w:p>
    <w:p w:rsidR="008D51EF" w:rsidRDefault="008D51EF" w:rsidP="008D51EF">
      <w:pPr>
        <w:jc w:val="both"/>
        <w:rPr>
          <w:sz w:val="22"/>
          <w:szCs w:val="22"/>
          <w:u w:val="single"/>
        </w:rPr>
      </w:pPr>
    </w:p>
    <w:p w:rsidR="008D51EF" w:rsidRDefault="008D51EF" w:rsidP="00F64838">
      <w:pPr>
        <w:ind w:left="1560" w:hanging="144"/>
        <w:jc w:val="both"/>
        <w:rPr>
          <w:sz w:val="22"/>
          <w:szCs w:val="22"/>
        </w:rPr>
      </w:pPr>
      <w:r>
        <w:rPr>
          <w:sz w:val="22"/>
          <w:szCs w:val="22"/>
        </w:rPr>
        <w:t>- Se deberá hacer constar la colaboración de</w:t>
      </w:r>
      <w:r w:rsidR="0071273E">
        <w:rPr>
          <w:sz w:val="22"/>
          <w:szCs w:val="22"/>
        </w:rPr>
        <w:t>l Vicerrectorado de Relaciones Institucionales de</w:t>
      </w:r>
      <w:r>
        <w:rPr>
          <w:sz w:val="22"/>
          <w:szCs w:val="22"/>
        </w:rPr>
        <w:t xml:space="preserve"> la Universidad de Sevilla en folletos, carteles, catálogos y cualquier documento gráfico editado al efecto, de acuerdo con los registros de marca de la Universidad de Sevilla y mediante el siguiente lema:</w:t>
      </w:r>
    </w:p>
    <w:p w:rsidR="008D51EF" w:rsidRPr="008D51EF" w:rsidRDefault="00F64838" w:rsidP="00F64838">
      <w:pPr>
        <w:ind w:left="1560" w:hanging="1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D51EF">
        <w:rPr>
          <w:sz w:val="22"/>
          <w:szCs w:val="22"/>
        </w:rPr>
        <w:t>UNIVERSIDAD DE SEVILLA. VICERRECTORADO DE RELACIONES INSTITUCIONALES</w:t>
      </w:r>
    </w:p>
    <w:p w:rsidR="00A44F32" w:rsidRDefault="00A44F32">
      <w:pPr>
        <w:pStyle w:val="Sangra3detindependiente"/>
        <w:rPr>
          <w:rFonts w:ascii="Book Antiqua" w:hAnsi="Book Antiqua"/>
          <w:sz w:val="24"/>
        </w:rPr>
      </w:pPr>
    </w:p>
    <w:p w:rsidR="001B7CA1" w:rsidRDefault="001B7CA1">
      <w:pPr>
        <w:pStyle w:val="Sangra3detindependiente"/>
        <w:rPr>
          <w:rFonts w:ascii="Book Antiqua" w:hAnsi="Book Antiqua"/>
          <w:sz w:val="24"/>
        </w:rPr>
      </w:pPr>
    </w:p>
    <w:sectPr w:rsidR="001B7CA1" w:rsidSect="00A44F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73E" w:rsidRDefault="0071273E" w:rsidP="0071273E">
      <w:r>
        <w:separator/>
      </w:r>
    </w:p>
  </w:endnote>
  <w:endnote w:type="continuationSeparator" w:id="0">
    <w:p w:rsidR="0071273E" w:rsidRDefault="0071273E" w:rsidP="0071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CA1" w:rsidRDefault="001B7C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CA1" w:rsidRDefault="001B7CA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CA1" w:rsidRDefault="001B7C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73E" w:rsidRDefault="0071273E" w:rsidP="0071273E">
      <w:r>
        <w:separator/>
      </w:r>
    </w:p>
  </w:footnote>
  <w:footnote w:type="continuationSeparator" w:id="0">
    <w:p w:rsidR="0071273E" w:rsidRDefault="0071273E" w:rsidP="0071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CA1" w:rsidRDefault="001B7C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E" w:rsidRDefault="00EC3DA2">
    <w:pPr>
      <w:pStyle w:val="Encabezado"/>
    </w:pPr>
    <w:r>
      <w:rPr>
        <w:noProof/>
      </w:rPr>
      <w:drawing>
        <wp:inline distT="0" distB="0" distL="0" distR="0">
          <wp:extent cx="1200150" cy="1047750"/>
          <wp:effectExtent l="19050" t="0" r="0" b="0"/>
          <wp:docPr id="1" name="Imagen 1" descr="MARCA_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NEG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1273E" w:rsidRDefault="0071273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CA1" w:rsidRDefault="001B7C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A60C2"/>
    <w:multiLevelType w:val="hybridMultilevel"/>
    <w:tmpl w:val="191C9BF0"/>
    <w:lvl w:ilvl="0" w:tplc="690424A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7596E6B"/>
    <w:multiLevelType w:val="hybridMultilevel"/>
    <w:tmpl w:val="A90264DE"/>
    <w:lvl w:ilvl="0" w:tplc="0C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718D70E6"/>
    <w:multiLevelType w:val="hybridMultilevel"/>
    <w:tmpl w:val="25162CBE"/>
    <w:lvl w:ilvl="0" w:tplc="663CAA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32"/>
    <w:rsid w:val="000D584D"/>
    <w:rsid w:val="001B7CA1"/>
    <w:rsid w:val="001E707B"/>
    <w:rsid w:val="002F7EF8"/>
    <w:rsid w:val="003525A1"/>
    <w:rsid w:val="004115E7"/>
    <w:rsid w:val="004D1BF3"/>
    <w:rsid w:val="004F79FE"/>
    <w:rsid w:val="00605C9D"/>
    <w:rsid w:val="00662260"/>
    <w:rsid w:val="0071273E"/>
    <w:rsid w:val="00881B0F"/>
    <w:rsid w:val="008C1CD4"/>
    <w:rsid w:val="008D51EF"/>
    <w:rsid w:val="008F25BF"/>
    <w:rsid w:val="009C5AF0"/>
    <w:rsid w:val="00A44F32"/>
    <w:rsid w:val="00B127AB"/>
    <w:rsid w:val="00BE6F2B"/>
    <w:rsid w:val="00CA4332"/>
    <w:rsid w:val="00DB459E"/>
    <w:rsid w:val="00E07F37"/>
    <w:rsid w:val="00E77AB2"/>
    <w:rsid w:val="00EC3DA2"/>
    <w:rsid w:val="00EE4AAB"/>
    <w:rsid w:val="00F64838"/>
    <w:rsid w:val="00FE28BD"/>
    <w:rsid w:val="00FF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703E1C75"/>
  <w15:docId w15:val="{845CF496-DFEA-4B54-8514-EB05692E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1EF"/>
  </w:style>
  <w:style w:type="paragraph" w:styleId="Ttulo1">
    <w:name w:val="heading 1"/>
    <w:basedOn w:val="Normal"/>
    <w:next w:val="Normal"/>
    <w:qFormat/>
    <w:rsid w:val="00881B0F"/>
    <w:pPr>
      <w:keepNext/>
      <w:ind w:left="4253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881B0F"/>
    <w:pPr>
      <w:keepNext/>
      <w:ind w:left="4253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881B0F"/>
    <w:pPr>
      <w:keepNext/>
      <w:jc w:val="center"/>
      <w:outlineLvl w:val="2"/>
    </w:pPr>
    <w:rPr>
      <w:b/>
      <w:bCs/>
      <w:i/>
      <w:iCs/>
      <w:sz w:val="36"/>
    </w:rPr>
  </w:style>
  <w:style w:type="paragraph" w:styleId="Ttulo4">
    <w:name w:val="heading 4"/>
    <w:basedOn w:val="Normal"/>
    <w:next w:val="Normal"/>
    <w:qFormat/>
    <w:rsid w:val="00881B0F"/>
    <w:pPr>
      <w:keepNext/>
      <w:outlineLvl w:val="3"/>
    </w:pPr>
    <w:rPr>
      <w:rFonts w:ascii="Book Antiqua" w:hAnsi="Book Antiqu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rsid w:val="00881B0F"/>
    <w:pPr>
      <w:ind w:left="1418"/>
    </w:pPr>
    <w:rPr>
      <w:sz w:val="24"/>
    </w:rPr>
  </w:style>
  <w:style w:type="character" w:styleId="Hipervnculo">
    <w:name w:val="Hyperlink"/>
    <w:basedOn w:val="Fuentedeprrafopredeter"/>
    <w:semiHidden/>
    <w:rsid w:val="00881B0F"/>
    <w:rPr>
      <w:color w:val="0000FF"/>
      <w:u w:val="single"/>
    </w:rPr>
  </w:style>
  <w:style w:type="paragraph" w:styleId="Textoindependiente">
    <w:name w:val="Body Text"/>
    <w:basedOn w:val="Normal"/>
    <w:semiHidden/>
    <w:rsid w:val="00881B0F"/>
    <w:pPr>
      <w:jc w:val="center"/>
    </w:pPr>
    <w:rPr>
      <w:b/>
      <w:sz w:val="22"/>
      <w:szCs w:val="22"/>
      <w:u w:val="single"/>
    </w:rPr>
  </w:style>
  <w:style w:type="paragraph" w:styleId="Sangra2detindependiente">
    <w:name w:val="Body Text Indent 2"/>
    <w:basedOn w:val="Normal"/>
    <w:semiHidden/>
    <w:rsid w:val="00881B0F"/>
    <w:pPr>
      <w:ind w:left="1440"/>
      <w:jc w:val="both"/>
    </w:pPr>
    <w:rPr>
      <w:sz w:val="22"/>
      <w:szCs w:val="22"/>
    </w:rPr>
  </w:style>
  <w:style w:type="paragraph" w:styleId="Sangra3detindependiente">
    <w:name w:val="Body Text Indent 3"/>
    <w:basedOn w:val="Normal"/>
    <w:semiHidden/>
    <w:rsid w:val="00881B0F"/>
    <w:pPr>
      <w:ind w:left="1418"/>
      <w:jc w:val="both"/>
    </w:pPr>
    <w:rPr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127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273E"/>
  </w:style>
  <w:style w:type="paragraph" w:styleId="Piedepgina">
    <w:name w:val="footer"/>
    <w:basedOn w:val="Normal"/>
    <w:link w:val="PiedepginaCar"/>
    <w:uiPriority w:val="99"/>
    <w:semiHidden/>
    <w:unhideWhenUsed/>
    <w:rsid w:val="007127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1273E"/>
  </w:style>
  <w:style w:type="paragraph" w:styleId="Textodeglobo">
    <w:name w:val="Balloon Text"/>
    <w:basedOn w:val="Normal"/>
    <w:link w:val="TextodegloboCar"/>
    <w:uiPriority w:val="99"/>
    <w:semiHidden/>
    <w:unhideWhenUsed/>
    <w:rsid w:val="007127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Sevilla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EXTENSION19</dc:creator>
  <cp:lastModifiedBy>Usuario de Windows</cp:lastModifiedBy>
  <cp:revision>2</cp:revision>
  <cp:lastPrinted>2013-04-10T05:50:00Z</cp:lastPrinted>
  <dcterms:created xsi:type="dcterms:W3CDTF">2018-02-21T12:08:00Z</dcterms:created>
  <dcterms:modified xsi:type="dcterms:W3CDTF">2018-02-21T12:08:00Z</dcterms:modified>
</cp:coreProperties>
</file>